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F" w:rsidRDefault="00F5770F" w:rsidP="00F577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5770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(kg)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2016-2019</w:t>
      </w:r>
      <w:bookmarkEnd w:id="0"/>
    </w:p>
    <w:p w:rsidR="00F5770F" w:rsidRPr="00F5770F" w:rsidRDefault="00F5770F" w:rsidP="00F577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9" w:type="dxa"/>
        <w:jc w:val="center"/>
        <w:tblInd w:w="534" w:type="dxa"/>
        <w:tblLook w:val="04A0" w:firstRow="1" w:lastRow="0" w:firstColumn="1" w:lastColumn="0" w:noHBand="0" w:noVBand="1"/>
      </w:tblPr>
      <w:tblGrid>
        <w:gridCol w:w="458"/>
        <w:gridCol w:w="1470"/>
        <w:gridCol w:w="1211"/>
        <w:gridCol w:w="1213"/>
        <w:gridCol w:w="1213"/>
        <w:gridCol w:w="1213"/>
      </w:tblGrid>
      <w:tr w:rsidR="00F5770F" w:rsidRPr="00F5770F" w:rsidTr="00F5770F">
        <w:trPr>
          <w:trHeight w:val="62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TPI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Tangkapan</w:t>
            </w:r>
            <w:proofErr w:type="spellEnd"/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(kg)</w:t>
            </w:r>
          </w:p>
        </w:tc>
      </w:tr>
      <w:tr w:rsidR="00F5770F" w:rsidRPr="00F5770F" w:rsidTr="00F5770F">
        <w:trPr>
          <w:trHeight w:val="62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Bajomulyo</w:t>
            </w:r>
            <w:proofErr w:type="spellEnd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8.769.701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8.434.210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6.103.268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11.683.734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Bajomulyo</w:t>
            </w:r>
            <w:proofErr w:type="spellEnd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24.841.118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43.531.176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16.696.841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45.383.064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Pecangaan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7.545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10.944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5.334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10.284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Margomulyo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2.823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4.302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3.927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7.628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Sambiroto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3.864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3.874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2.481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6.876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Alasdowo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7.079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10.126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8.642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Banyutowo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698.561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1.059.760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74.450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469.410</w:t>
            </w:r>
          </w:p>
        </w:tc>
      </w:tr>
      <w:tr w:rsidR="00F5770F" w:rsidRPr="00F5770F" w:rsidTr="00F5770F">
        <w:trPr>
          <w:cantSplit/>
          <w:trHeight w:val="7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sz w:val="24"/>
                <w:szCs w:val="24"/>
              </w:rPr>
              <w:t>Puncel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280.549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481.220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228.086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sz w:val="24"/>
                <w:szCs w:val="24"/>
              </w:rPr>
              <w:t>459.918</w:t>
            </w:r>
          </w:p>
        </w:tc>
      </w:tr>
      <w:tr w:rsidR="00F5770F" w:rsidRPr="00F5770F" w:rsidTr="00F5770F">
        <w:trPr>
          <w:cantSplit/>
          <w:trHeight w:val="6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70F" w:rsidRPr="00F5770F" w:rsidRDefault="00F5770F" w:rsidP="00F5770F">
            <w:pPr>
              <w:spacing w:before="40" w:after="40" w:line="240" w:lineRule="auto"/>
              <w:ind w:left="-53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b/>
                <w:sz w:val="24"/>
                <w:szCs w:val="24"/>
              </w:rPr>
              <w:t>34.611.240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b/>
                <w:sz w:val="24"/>
                <w:szCs w:val="24"/>
              </w:rPr>
              <w:t>53.535.612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hAnsi="Times New Roman" w:cs="Times New Roman"/>
                <w:b/>
                <w:sz w:val="24"/>
                <w:szCs w:val="24"/>
              </w:rPr>
              <w:t>23.517.490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70F" w:rsidRPr="00F5770F" w:rsidRDefault="00F5770F" w:rsidP="00F5770F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58.029.556</w:t>
            </w:r>
          </w:p>
        </w:tc>
      </w:tr>
    </w:tbl>
    <w:p w:rsidR="00F5770F" w:rsidRDefault="00F5770F" w:rsidP="00F577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F5770F" w:rsidRPr="00F5770F" w:rsidRDefault="00F5770F" w:rsidP="00F577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770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F5770F" w:rsidRPr="00F5770F" w:rsidRDefault="00F5770F" w:rsidP="00F577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F5770F" w:rsidRPr="00F5770F" w:rsidRDefault="00F5770F" w:rsidP="00F5770F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70F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:</w:t>
      </w:r>
      <w:r w:rsidRPr="00F57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2016-2018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(TPI)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(TPI) di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(TPI) yang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5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70F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E05AFF" w:rsidRPr="00F5770F" w:rsidRDefault="00E05AFF" w:rsidP="00F577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AFF" w:rsidRPr="00F5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F"/>
    <w:rsid w:val="00E05AFF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2021-01-04T01:33:00Z</dcterms:created>
  <dcterms:modified xsi:type="dcterms:W3CDTF">2021-01-04T01:34:00Z</dcterms:modified>
</cp:coreProperties>
</file>