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C" w:rsidRDefault="003A165C" w:rsidP="003A165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B733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Perairan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(kg))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3A165C" w:rsidRPr="00FB733E" w:rsidRDefault="003A165C" w:rsidP="003A165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947" w:type="dxa"/>
        <w:jc w:val="center"/>
        <w:tblInd w:w="-289" w:type="dxa"/>
        <w:tblLook w:val="04A0" w:firstRow="1" w:lastRow="0" w:firstColumn="1" w:lastColumn="0" w:noHBand="0" w:noVBand="1"/>
      </w:tblPr>
      <w:tblGrid>
        <w:gridCol w:w="458"/>
        <w:gridCol w:w="1365"/>
        <w:gridCol w:w="1034"/>
        <w:gridCol w:w="1034"/>
        <w:gridCol w:w="1034"/>
        <w:gridCol w:w="1034"/>
        <w:gridCol w:w="1033"/>
      </w:tblGrid>
      <w:tr w:rsidR="003A165C" w:rsidRPr="00FB733E" w:rsidTr="003A165C">
        <w:trPr>
          <w:trHeight w:val="62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TPI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Tangkapan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</w:tr>
      <w:tr w:rsidR="003A165C" w:rsidRPr="00FB733E" w:rsidTr="003A165C">
        <w:trPr>
          <w:trHeight w:val="6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Bajomulyo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8.769.701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8.434.210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6.103.268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11.683.734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10.505.514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Bajomulyo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24.841.118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43.531.176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16.696.841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45.383.064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83.310.764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Pecangaan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7.545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10.944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5.334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10.284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17.932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Margomulyo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2.823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4.302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3.927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7.628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7.318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Sambiroto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3.864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3.874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2.481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6.876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7.604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Alasdowo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7.079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10.126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3.103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8.642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10.350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Banyutowo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698.561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1.059.760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 xml:space="preserve">       74.450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469.410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707.986</w:t>
            </w:r>
          </w:p>
        </w:tc>
      </w:tr>
      <w:tr w:rsidR="003A165C" w:rsidRPr="00FB733E" w:rsidTr="003A165C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Puncel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280.549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481.220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228.086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sz w:val="20"/>
                <w:szCs w:val="20"/>
              </w:rPr>
              <w:t>459.918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sz w:val="20"/>
                <w:szCs w:val="20"/>
              </w:rPr>
              <w:t>503.172</w:t>
            </w:r>
          </w:p>
        </w:tc>
      </w:tr>
      <w:tr w:rsidR="003A165C" w:rsidRPr="00FB733E" w:rsidTr="003A165C">
        <w:trPr>
          <w:cantSplit/>
          <w:trHeight w:val="6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65C" w:rsidRPr="00FB733E" w:rsidRDefault="003A165C" w:rsidP="00333388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b/>
                <w:sz w:val="20"/>
                <w:szCs w:val="20"/>
              </w:rPr>
              <w:t>34.611.240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b/>
                <w:sz w:val="20"/>
                <w:szCs w:val="20"/>
              </w:rPr>
              <w:t>53.535.612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hAnsi="Times New Roman" w:cs="Times New Roman"/>
                <w:b/>
                <w:sz w:val="20"/>
                <w:szCs w:val="20"/>
              </w:rPr>
              <w:t>23.517.490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58.029.556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FB733E" w:rsidRDefault="003A165C" w:rsidP="00333388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95.070.640</w:t>
            </w:r>
          </w:p>
        </w:tc>
      </w:tr>
    </w:tbl>
    <w:p w:rsidR="003A165C" w:rsidRDefault="003A165C" w:rsidP="003A165C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3A165C" w:rsidRPr="00FB733E" w:rsidRDefault="003A165C" w:rsidP="003A165C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proofErr w:type="spellStart"/>
      <w:r w:rsidRPr="00FB733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A165C" w:rsidRPr="00FB733E" w:rsidRDefault="003A165C" w:rsidP="003A165C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3A165C" w:rsidRPr="00FB733E" w:rsidRDefault="003A165C" w:rsidP="003A165C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733E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:</w:t>
      </w:r>
      <w:r w:rsidRPr="00FB73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2016-2018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dihitung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tangkap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dilelang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Pelelangan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Ikan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(TPI)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selain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Pelelangan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Ikan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(TPI) di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tambah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estimasi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penangkapan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luar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Pelelangan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Ikan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(TPI) yang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wilayah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3A165C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C"/>
    <w:rsid w:val="003A165C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2021-08-05T01:09:00Z</dcterms:created>
  <dcterms:modified xsi:type="dcterms:W3CDTF">2021-08-05T01:10:00Z</dcterms:modified>
</cp:coreProperties>
</file>